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6" w:rsidRDefault="002853B6" w:rsidP="006215E6">
      <w:pPr>
        <w:jc w:val="center"/>
      </w:pPr>
      <w:r>
        <w:rPr>
          <w:rFonts w:hint="eastAsia"/>
        </w:rPr>
        <w:t>旅游管理专业</w:t>
      </w: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03"/>
        <w:gridCol w:w="1971"/>
        <w:gridCol w:w="567"/>
        <w:gridCol w:w="1134"/>
        <w:gridCol w:w="992"/>
        <w:gridCol w:w="850"/>
        <w:gridCol w:w="567"/>
        <w:gridCol w:w="993"/>
      </w:tblGrid>
      <w:tr w:rsidR="002853B6" w:rsidRPr="002853B6" w:rsidTr="006215E6">
        <w:tc>
          <w:tcPr>
            <w:tcW w:w="462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90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课程代号</w:t>
            </w:r>
          </w:p>
        </w:tc>
        <w:tc>
          <w:tcPr>
            <w:tcW w:w="197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学分</w:t>
            </w:r>
          </w:p>
        </w:tc>
        <w:tc>
          <w:tcPr>
            <w:tcW w:w="1134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992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85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考核比例</w:t>
            </w:r>
          </w:p>
        </w:tc>
        <w:tc>
          <w:tcPr>
            <w:tcW w:w="56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学位课程</w:t>
            </w:r>
          </w:p>
        </w:tc>
        <w:tc>
          <w:tcPr>
            <w:tcW w:w="9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课程安排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英语（二）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00043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经济法概论（财经类）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27016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27017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法语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27018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俄语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30463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酒店管理概论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00147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8B25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人力资源管理（一）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27128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旅游美学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27129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国际旅游与客源国概况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30464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旅游电子商务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00054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27124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旅游资源规划与开发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27126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8B25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旅游市场营销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27127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旅游企业投资与管理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27130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8B25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旅游消费行为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60010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旅游英语口试（实践）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60011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旅游市场调查（实践）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2853B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60012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旅游企业发展分析（实践）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3B6" w:rsidRPr="002853B6" w:rsidRDefault="002853B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6215E6" w:rsidRPr="002853B6" w:rsidTr="006215E6">
        <w:tc>
          <w:tcPr>
            <w:tcW w:w="4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10227</w:t>
            </w:r>
          </w:p>
        </w:tc>
        <w:tc>
          <w:tcPr>
            <w:tcW w:w="19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旅游管理毕业论文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2853B6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E6" w:rsidRPr="002853B6" w:rsidRDefault="006215E6" w:rsidP="00B6155D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  <w:t>四</w:t>
            </w:r>
            <w:r w:rsidRPr="002853B6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</w:tr>
    </w:tbl>
    <w:p w:rsidR="002853B6" w:rsidRDefault="002853B6"/>
    <w:sectPr w:rsidR="002853B6" w:rsidSect="006215E6">
      <w:pgSz w:w="11907" w:h="16840" w:code="9"/>
      <w:pgMar w:top="567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5A" w:rsidRDefault="00AA345A" w:rsidP="002853B6">
      <w:r>
        <w:separator/>
      </w:r>
    </w:p>
  </w:endnote>
  <w:endnote w:type="continuationSeparator" w:id="0">
    <w:p w:rsidR="00AA345A" w:rsidRDefault="00AA345A" w:rsidP="0028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5A" w:rsidRDefault="00AA345A" w:rsidP="002853B6">
      <w:r>
        <w:separator/>
      </w:r>
    </w:p>
  </w:footnote>
  <w:footnote w:type="continuationSeparator" w:id="0">
    <w:p w:rsidR="00AA345A" w:rsidRDefault="00AA345A" w:rsidP="0028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6"/>
    <w:rsid w:val="00086664"/>
    <w:rsid w:val="000E4422"/>
    <w:rsid w:val="002853B6"/>
    <w:rsid w:val="002B369E"/>
    <w:rsid w:val="002E3EB7"/>
    <w:rsid w:val="006215E6"/>
    <w:rsid w:val="008B250F"/>
    <w:rsid w:val="00AA345A"/>
    <w:rsid w:val="00CB7AC6"/>
    <w:rsid w:val="00D446F3"/>
    <w:rsid w:val="00F23072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6664"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666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6664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666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666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6664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086664"/>
    <w:rPr>
      <w:rFonts w:cs="Times New Roman"/>
      <w:b/>
    </w:rPr>
  </w:style>
  <w:style w:type="character" w:styleId="a4">
    <w:name w:val="Emphasis"/>
    <w:basedOn w:val="a0"/>
    <w:uiPriority w:val="99"/>
    <w:qFormat/>
    <w:rsid w:val="00086664"/>
    <w:rPr>
      <w:rFonts w:cs="Times New Roman"/>
      <w:i/>
    </w:rPr>
  </w:style>
  <w:style w:type="paragraph" w:styleId="a5">
    <w:name w:val="List Paragraph"/>
    <w:basedOn w:val="a"/>
    <w:uiPriority w:val="34"/>
    <w:qFormat/>
    <w:rsid w:val="00086664"/>
    <w:pPr>
      <w:ind w:firstLineChars="200" w:firstLine="420"/>
    </w:pPr>
    <w:rPr>
      <w:rFonts w:cs="Times New Roman"/>
    </w:rPr>
  </w:style>
  <w:style w:type="character" w:customStyle="1" w:styleId="2Exact">
    <w:name w:val="正文文本 (2) Exact"/>
    <w:uiPriority w:val="99"/>
    <w:unhideWhenUsed/>
    <w:qFormat/>
    <w:rsid w:val="00086664"/>
    <w:rPr>
      <w:rFonts w:ascii="Times New Roman" w:eastAsia="Times New Roman" w:hAnsi="Times New Roman" w:hint="eastAsia"/>
      <w:sz w:val="21"/>
      <w:u w:val="single"/>
    </w:rPr>
  </w:style>
  <w:style w:type="character" w:customStyle="1" w:styleId="10Exact">
    <w:name w:val="正文文本 (10) Exact"/>
    <w:uiPriority w:val="99"/>
    <w:unhideWhenUsed/>
    <w:qFormat/>
    <w:rsid w:val="00086664"/>
    <w:rPr>
      <w:rFonts w:ascii="Times New Roman" w:eastAsia="Times New Roman" w:hAnsi="Times New Roman" w:hint="eastAsia"/>
      <w:color w:val="000000"/>
      <w:sz w:val="21"/>
    </w:rPr>
  </w:style>
  <w:style w:type="character" w:customStyle="1" w:styleId="2TimesNewRoman">
    <w:name w:val="标题 #2 + Times New Roman"/>
    <w:uiPriority w:val="99"/>
    <w:unhideWhenUsed/>
    <w:qFormat/>
    <w:rsid w:val="00086664"/>
    <w:rPr>
      <w:rFonts w:ascii="Times New Roman" w:eastAsia="Times New Roman" w:hAnsi="Times New Roman" w:hint="eastAsia"/>
      <w:sz w:val="21"/>
      <w:lang w:val="zh-TW" w:eastAsia="zh-TW"/>
    </w:rPr>
  </w:style>
  <w:style w:type="character" w:customStyle="1" w:styleId="3Tahoma">
    <w:name w:val="正文文本 (3) + Tahoma"/>
    <w:uiPriority w:val="99"/>
    <w:unhideWhenUsed/>
    <w:qFormat/>
    <w:rsid w:val="00086664"/>
    <w:rPr>
      <w:rFonts w:ascii="Tahoma" w:eastAsia="Tahoma" w:hAnsi="Tahoma" w:hint="eastAsia"/>
      <w:sz w:val="18"/>
      <w:lang w:val="zh-TW" w:eastAsia="zh-TW"/>
    </w:rPr>
  </w:style>
  <w:style w:type="character" w:customStyle="1" w:styleId="2MingLiU">
    <w:name w:val="正文文本 (2) + MingLiU"/>
    <w:uiPriority w:val="99"/>
    <w:unhideWhenUsed/>
    <w:qFormat/>
    <w:rsid w:val="00086664"/>
    <w:rPr>
      <w:rFonts w:ascii="MingLiU" w:eastAsia="MingLiU" w:hAnsi="MingLiU" w:hint="eastAsia"/>
      <w:spacing w:val="-30"/>
      <w:sz w:val="19"/>
      <w:lang w:val="zh-TW" w:eastAsia="zh-TW"/>
    </w:rPr>
  </w:style>
  <w:style w:type="character" w:customStyle="1" w:styleId="23pt">
    <w:name w:val="标题 #2 + 间距 3 pt"/>
    <w:uiPriority w:val="99"/>
    <w:unhideWhenUsed/>
    <w:qFormat/>
    <w:rsid w:val="00086664"/>
    <w:rPr>
      <w:rFonts w:ascii="MingLiU" w:eastAsia="MingLiU" w:hAnsi="MingLiU" w:hint="eastAsia"/>
      <w:spacing w:val="60"/>
      <w:sz w:val="20"/>
      <w:lang w:val="zh-TW" w:eastAsia="zh-TW"/>
    </w:rPr>
  </w:style>
  <w:style w:type="paragraph" w:customStyle="1" w:styleId="10">
    <w:name w:val="正文文本 (10)"/>
    <w:basedOn w:val="a"/>
    <w:link w:val="100"/>
    <w:uiPriority w:val="99"/>
    <w:unhideWhenUsed/>
    <w:qFormat/>
    <w:rsid w:val="00086664"/>
    <w:pPr>
      <w:shd w:val="clear" w:color="auto" w:fill="FFFFFF"/>
      <w:spacing w:line="468" w:lineRule="exact"/>
      <w:ind w:hanging="460"/>
    </w:pPr>
    <w:rPr>
      <w:rFonts w:asciiTheme="minorHAnsi" w:eastAsia="Times New Roman" w:hAnsiTheme="minorHAnsi"/>
    </w:rPr>
  </w:style>
  <w:style w:type="character" w:customStyle="1" w:styleId="100">
    <w:name w:val="正文文本 (10)_"/>
    <w:link w:val="1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20">
    <w:name w:val="正文文本 (2)"/>
    <w:basedOn w:val="a"/>
    <w:link w:val="21"/>
    <w:uiPriority w:val="99"/>
    <w:unhideWhenUsed/>
    <w:qFormat/>
    <w:rsid w:val="00086664"/>
    <w:pPr>
      <w:shd w:val="clear" w:color="auto" w:fill="FFFFFF"/>
      <w:spacing w:before="180" w:after="180" w:line="240" w:lineRule="atLeast"/>
    </w:pPr>
    <w:rPr>
      <w:rFonts w:asciiTheme="minorHAnsi" w:eastAsia="Times New Roman" w:hAnsiTheme="minorHAnsi"/>
    </w:rPr>
  </w:style>
  <w:style w:type="character" w:customStyle="1" w:styleId="21">
    <w:name w:val="正文文本 (2)_"/>
    <w:link w:val="2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30">
    <w:name w:val="正文文本 (3)"/>
    <w:basedOn w:val="a"/>
    <w:link w:val="31"/>
    <w:uiPriority w:val="99"/>
    <w:unhideWhenUsed/>
    <w:qFormat/>
    <w:rsid w:val="00086664"/>
    <w:pPr>
      <w:shd w:val="clear" w:color="auto" w:fill="FFFFFF"/>
      <w:spacing w:line="468" w:lineRule="exact"/>
      <w:jc w:val="center"/>
    </w:pPr>
    <w:rPr>
      <w:rFonts w:ascii="MingLiU" w:eastAsia="MingLiU" w:hAnsi="MingLiU"/>
      <w:lang w:val="zh-TW" w:eastAsia="zh-TW"/>
    </w:rPr>
  </w:style>
  <w:style w:type="character" w:customStyle="1" w:styleId="31">
    <w:name w:val="正文文本 (3)_"/>
    <w:link w:val="30"/>
    <w:uiPriority w:val="99"/>
    <w:unhideWhenUsed/>
    <w:qFormat/>
    <w:rsid w:val="00086664"/>
    <w:rPr>
      <w:rFonts w:ascii="MingLiU" w:eastAsia="MingLiU" w:hAnsi="MingLiU"/>
      <w:shd w:val="clear" w:color="auto" w:fill="FFFFFF"/>
      <w:lang w:val="zh-TW" w:eastAsia="zh-TW"/>
    </w:rPr>
  </w:style>
  <w:style w:type="paragraph" w:styleId="a6">
    <w:name w:val="No Spacing"/>
    <w:link w:val="Char"/>
    <w:uiPriority w:val="1"/>
    <w:qFormat/>
    <w:rsid w:val="00086664"/>
    <w:rPr>
      <w:rFonts w:ascii="Calibri" w:hAnsi="Calibri" w:cs="Times New Roman"/>
      <w:kern w:val="0"/>
      <w:sz w:val="22"/>
    </w:rPr>
  </w:style>
  <w:style w:type="character" w:customStyle="1" w:styleId="Char">
    <w:name w:val="无间隔 Char"/>
    <w:link w:val="a6"/>
    <w:uiPriority w:val="1"/>
    <w:rsid w:val="00086664"/>
    <w:rPr>
      <w:rFonts w:ascii="Calibri" w:eastAsia="宋体" w:hAnsi="Calibri" w:cs="Times New Roman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28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853B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8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85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6664"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666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6664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666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666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6664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086664"/>
    <w:rPr>
      <w:rFonts w:cs="Times New Roman"/>
      <w:b/>
    </w:rPr>
  </w:style>
  <w:style w:type="character" w:styleId="a4">
    <w:name w:val="Emphasis"/>
    <w:basedOn w:val="a0"/>
    <w:uiPriority w:val="99"/>
    <w:qFormat/>
    <w:rsid w:val="00086664"/>
    <w:rPr>
      <w:rFonts w:cs="Times New Roman"/>
      <w:i/>
    </w:rPr>
  </w:style>
  <w:style w:type="paragraph" w:styleId="a5">
    <w:name w:val="List Paragraph"/>
    <w:basedOn w:val="a"/>
    <w:uiPriority w:val="34"/>
    <w:qFormat/>
    <w:rsid w:val="00086664"/>
    <w:pPr>
      <w:ind w:firstLineChars="200" w:firstLine="420"/>
    </w:pPr>
    <w:rPr>
      <w:rFonts w:cs="Times New Roman"/>
    </w:rPr>
  </w:style>
  <w:style w:type="character" w:customStyle="1" w:styleId="2Exact">
    <w:name w:val="正文文本 (2) Exact"/>
    <w:uiPriority w:val="99"/>
    <w:unhideWhenUsed/>
    <w:qFormat/>
    <w:rsid w:val="00086664"/>
    <w:rPr>
      <w:rFonts w:ascii="Times New Roman" w:eastAsia="Times New Roman" w:hAnsi="Times New Roman" w:hint="eastAsia"/>
      <w:sz w:val="21"/>
      <w:u w:val="single"/>
    </w:rPr>
  </w:style>
  <w:style w:type="character" w:customStyle="1" w:styleId="10Exact">
    <w:name w:val="正文文本 (10) Exact"/>
    <w:uiPriority w:val="99"/>
    <w:unhideWhenUsed/>
    <w:qFormat/>
    <w:rsid w:val="00086664"/>
    <w:rPr>
      <w:rFonts w:ascii="Times New Roman" w:eastAsia="Times New Roman" w:hAnsi="Times New Roman" w:hint="eastAsia"/>
      <w:color w:val="000000"/>
      <w:sz w:val="21"/>
    </w:rPr>
  </w:style>
  <w:style w:type="character" w:customStyle="1" w:styleId="2TimesNewRoman">
    <w:name w:val="标题 #2 + Times New Roman"/>
    <w:uiPriority w:val="99"/>
    <w:unhideWhenUsed/>
    <w:qFormat/>
    <w:rsid w:val="00086664"/>
    <w:rPr>
      <w:rFonts w:ascii="Times New Roman" w:eastAsia="Times New Roman" w:hAnsi="Times New Roman" w:hint="eastAsia"/>
      <w:sz w:val="21"/>
      <w:lang w:val="zh-TW" w:eastAsia="zh-TW"/>
    </w:rPr>
  </w:style>
  <w:style w:type="character" w:customStyle="1" w:styleId="3Tahoma">
    <w:name w:val="正文文本 (3) + Tahoma"/>
    <w:uiPriority w:val="99"/>
    <w:unhideWhenUsed/>
    <w:qFormat/>
    <w:rsid w:val="00086664"/>
    <w:rPr>
      <w:rFonts w:ascii="Tahoma" w:eastAsia="Tahoma" w:hAnsi="Tahoma" w:hint="eastAsia"/>
      <w:sz w:val="18"/>
      <w:lang w:val="zh-TW" w:eastAsia="zh-TW"/>
    </w:rPr>
  </w:style>
  <w:style w:type="character" w:customStyle="1" w:styleId="2MingLiU">
    <w:name w:val="正文文本 (2) + MingLiU"/>
    <w:uiPriority w:val="99"/>
    <w:unhideWhenUsed/>
    <w:qFormat/>
    <w:rsid w:val="00086664"/>
    <w:rPr>
      <w:rFonts w:ascii="MingLiU" w:eastAsia="MingLiU" w:hAnsi="MingLiU" w:hint="eastAsia"/>
      <w:spacing w:val="-30"/>
      <w:sz w:val="19"/>
      <w:lang w:val="zh-TW" w:eastAsia="zh-TW"/>
    </w:rPr>
  </w:style>
  <w:style w:type="character" w:customStyle="1" w:styleId="23pt">
    <w:name w:val="标题 #2 + 间距 3 pt"/>
    <w:uiPriority w:val="99"/>
    <w:unhideWhenUsed/>
    <w:qFormat/>
    <w:rsid w:val="00086664"/>
    <w:rPr>
      <w:rFonts w:ascii="MingLiU" w:eastAsia="MingLiU" w:hAnsi="MingLiU" w:hint="eastAsia"/>
      <w:spacing w:val="60"/>
      <w:sz w:val="20"/>
      <w:lang w:val="zh-TW" w:eastAsia="zh-TW"/>
    </w:rPr>
  </w:style>
  <w:style w:type="paragraph" w:customStyle="1" w:styleId="10">
    <w:name w:val="正文文本 (10)"/>
    <w:basedOn w:val="a"/>
    <w:link w:val="100"/>
    <w:uiPriority w:val="99"/>
    <w:unhideWhenUsed/>
    <w:qFormat/>
    <w:rsid w:val="00086664"/>
    <w:pPr>
      <w:shd w:val="clear" w:color="auto" w:fill="FFFFFF"/>
      <w:spacing w:line="468" w:lineRule="exact"/>
      <w:ind w:hanging="460"/>
    </w:pPr>
    <w:rPr>
      <w:rFonts w:asciiTheme="minorHAnsi" w:eastAsia="Times New Roman" w:hAnsiTheme="minorHAnsi"/>
    </w:rPr>
  </w:style>
  <w:style w:type="character" w:customStyle="1" w:styleId="100">
    <w:name w:val="正文文本 (10)_"/>
    <w:link w:val="1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20">
    <w:name w:val="正文文本 (2)"/>
    <w:basedOn w:val="a"/>
    <w:link w:val="21"/>
    <w:uiPriority w:val="99"/>
    <w:unhideWhenUsed/>
    <w:qFormat/>
    <w:rsid w:val="00086664"/>
    <w:pPr>
      <w:shd w:val="clear" w:color="auto" w:fill="FFFFFF"/>
      <w:spacing w:before="180" w:after="180" w:line="240" w:lineRule="atLeast"/>
    </w:pPr>
    <w:rPr>
      <w:rFonts w:asciiTheme="minorHAnsi" w:eastAsia="Times New Roman" w:hAnsiTheme="minorHAnsi"/>
    </w:rPr>
  </w:style>
  <w:style w:type="character" w:customStyle="1" w:styleId="21">
    <w:name w:val="正文文本 (2)_"/>
    <w:link w:val="2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30">
    <w:name w:val="正文文本 (3)"/>
    <w:basedOn w:val="a"/>
    <w:link w:val="31"/>
    <w:uiPriority w:val="99"/>
    <w:unhideWhenUsed/>
    <w:qFormat/>
    <w:rsid w:val="00086664"/>
    <w:pPr>
      <w:shd w:val="clear" w:color="auto" w:fill="FFFFFF"/>
      <w:spacing w:line="468" w:lineRule="exact"/>
      <w:jc w:val="center"/>
    </w:pPr>
    <w:rPr>
      <w:rFonts w:ascii="MingLiU" w:eastAsia="MingLiU" w:hAnsi="MingLiU"/>
      <w:lang w:val="zh-TW" w:eastAsia="zh-TW"/>
    </w:rPr>
  </w:style>
  <w:style w:type="character" w:customStyle="1" w:styleId="31">
    <w:name w:val="正文文本 (3)_"/>
    <w:link w:val="30"/>
    <w:uiPriority w:val="99"/>
    <w:unhideWhenUsed/>
    <w:qFormat/>
    <w:rsid w:val="00086664"/>
    <w:rPr>
      <w:rFonts w:ascii="MingLiU" w:eastAsia="MingLiU" w:hAnsi="MingLiU"/>
      <w:shd w:val="clear" w:color="auto" w:fill="FFFFFF"/>
      <w:lang w:val="zh-TW" w:eastAsia="zh-TW"/>
    </w:rPr>
  </w:style>
  <w:style w:type="paragraph" w:styleId="a6">
    <w:name w:val="No Spacing"/>
    <w:link w:val="Char"/>
    <w:uiPriority w:val="1"/>
    <w:qFormat/>
    <w:rsid w:val="00086664"/>
    <w:rPr>
      <w:rFonts w:ascii="Calibri" w:hAnsi="Calibri" w:cs="Times New Roman"/>
      <w:kern w:val="0"/>
      <w:sz w:val="22"/>
    </w:rPr>
  </w:style>
  <w:style w:type="character" w:customStyle="1" w:styleId="Char">
    <w:name w:val="无间隔 Char"/>
    <w:link w:val="a6"/>
    <w:uiPriority w:val="1"/>
    <w:rsid w:val="00086664"/>
    <w:rPr>
      <w:rFonts w:ascii="Calibri" w:eastAsia="宋体" w:hAnsi="Calibri" w:cs="Times New Roman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28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853B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8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85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管小卫</dc:creator>
  <cp:keywords/>
  <dc:description/>
  <cp:lastModifiedBy>微软用户</cp:lastModifiedBy>
  <cp:revision>4</cp:revision>
  <dcterms:created xsi:type="dcterms:W3CDTF">2020-06-02T09:25:00Z</dcterms:created>
  <dcterms:modified xsi:type="dcterms:W3CDTF">2020-12-04T06:54:00Z</dcterms:modified>
</cp:coreProperties>
</file>